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TURNIEJ BUDOWLANY</w:t>
        <w:br w:type="textWrapping"/>
        <w:t xml:space="preserve"> „ZŁOTA KIELNIA”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-415924</wp:posOffset>
            </wp:positionH>
            <wp:positionV relativeFrom="paragraph">
              <wp:posOffset>-507999</wp:posOffset>
            </wp:positionV>
            <wp:extent cx="1382395" cy="137541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197" l="-196" r="-197" t="-196"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3754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EDYCJA LII (52)  FINAŁ OKRĘGOWY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BUD.12 - wykonywanie robót murarskich i tynkarskich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-253364</wp:posOffset>
            </wp:positionH>
            <wp:positionV relativeFrom="paragraph">
              <wp:posOffset>6350</wp:posOffset>
            </wp:positionV>
            <wp:extent cx="1090295" cy="79692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-320" l="-180" r="-179" t="-321"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796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ZADANIE PROBLEMOWE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Na ławie fundamentowej budynku jednorodzinnego, jednokondygnacyjnego wykonaj fragment narożnika muru z gazobetonu w technologii na cienką spoinę (na klej).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Zadanie wykonaj z gotowych zapraw.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-fundament grubość - 24 cm.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- gazobeton wymiary - 24 cm x 24 cm x 59 cm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1.Dobierz materiały potrzebne do wykonania zadania. </w:t>
        <w:tab/>
        <w:tab/>
        <w:tab/>
        <w:t xml:space="preserve">pkt. 0-4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2.Dobierz narzędzia i sprzęt do wykonania fragmentu narożnika.  pkt. 0-9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3. Wymień czynności umożliwiające  wykonanie zadania.              pkt. 0-7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4. Wymień wymagania jakie powinny spełniać mury z gazobetonu </w:t>
        <w:br w:type="textWrapping"/>
        <w:t xml:space="preserve">w technologii na klej.                                                                  pkt. 0-3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5. Jak dodatkowo wzmocnisz narożnik muru z gazobetonu.              pkt.0-2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6. Podaj grubości spoin poziomych przy zaprawie murarskiej i klejowej. pkt. 0-2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7. Wymień przepisy bhp, które należy przestrzegać podczas wykonywania zadania.                                                                                           pkt. 0-3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OQW0AjyVKWPyiqPP6OKLjjC/2g==">CgMxLjA4AHIhMUMyOEdTNk1PRTc2ekNNdmpIU3JUQTRUcHRzMVRoUDdj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